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807" w:rsidRDefault="00157807" w:rsidP="002F69B2">
      <w:pPr>
        <w:widowControl w:val="0"/>
        <w:autoSpaceDE w:val="0"/>
        <w:autoSpaceDN w:val="0"/>
        <w:adjustRightInd w:val="0"/>
        <w:spacing w:line="360" w:lineRule="auto"/>
        <w:jc w:val="both"/>
        <w:rPr>
          <w:rFonts w:ascii="Georgia" w:hAnsi="Georgia" w:cs="Calibri"/>
          <w:b/>
          <w:bCs/>
          <w:color w:val="003D7F"/>
          <w:sz w:val="32"/>
          <w:szCs w:val="32"/>
        </w:rPr>
      </w:pPr>
      <w:r w:rsidRPr="00157807">
        <w:rPr>
          <w:rFonts w:ascii="Georgia" w:hAnsi="Georgia" w:cs="Calibri"/>
          <w:b/>
          <w:bCs/>
          <w:color w:val="003D7F"/>
          <w:sz w:val="32"/>
          <w:szCs w:val="32"/>
        </w:rPr>
        <w:t xml:space="preserve">Company </w:t>
      </w:r>
      <w:proofErr w:type="spellStart"/>
      <w:r w:rsidRPr="00157807">
        <w:rPr>
          <w:rFonts w:ascii="Georgia" w:hAnsi="Georgia" w:cs="Calibri"/>
          <w:b/>
          <w:bCs/>
          <w:color w:val="003D7F"/>
          <w:sz w:val="32"/>
          <w:szCs w:val="32"/>
        </w:rPr>
        <w:t>profile</w:t>
      </w:r>
      <w:proofErr w:type="spellEnd"/>
    </w:p>
    <w:p w:rsidR="00157807" w:rsidRPr="00E64CA8" w:rsidRDefault="00157807" w:rsidP="002F69B2">
      <w:pPr>
        <w:widowControl w:val="0"/>
        <w:autoSpaceDE w:val="0"/>
        <w:autoSpaceDN w:val="0"/>
        <w:adjustRightInd w:val="0"/>
        <w:spacing w:line="360" w:lineRule="auto"/>
        <w:jc w:val="both"/>
        <w:rPr>
          <w:rFonts w:ascii="Verdana" w:hAnsi="Verdana" w:cs="Calibri"/>
          <w:bCs/>
          <w:sz w:val="20"/>
          <w:szCs w:val="20"/>
          <w:lang w:val="en-US"/>
        </w:rPr>
      </w:pPr>
      <w:r w:rsidRPr="00157807">
        <w:rPr>
          <w:rFonts w:ascii="Verdana" w:hAnsi="Verdana" w:cs="Calibri"/>
          <w:bCs/>
          <w:sz w:val="20"/>
          <w:szCs w:val="20"/>
        </w:rPr>
        <w:t xml:space="preserve">Dr. Kohlhase Vermögensverwaltungsgesellschaft mbH </w:t>
      </w:r>
      <w:proofErr w:type="spellStart"/>
      <w:r w:rsidRPr="00157807">
        <w:rPr>
          <w:rFonts w:ascii="Verdana" w:hAnsi="Verdana" w:cs="Calibri"/>
          <w:bCs/>
          <w:sz w:val="20"/>
          <w:szCs w:val="20"/>
        </w:rPr>
        <w:t>is</w:t>
      </w:r>
      <w:proofErr w:type="spellEnd"/>
      <w:r w:rsidRPr="00157807">
        <w:rPr>
          <w:rFonts w:ascii="Verdana" w:hAnsi="Verdana" w:cs="Calibri"/>
          <w:bCs/>
          <w:sz w:val="20"/>
          <w:szCs w:val="20"/>
        </w:rPr>
        <w:t xml:space="preserve"> an </w:t>
      </w:r>
      <w:proofErr w:type="spellStart"/>
      <w:r w:rsidRPr="00157807">
        <w:rPr>
          <w:rFonts w:ascii="Verdana" w:hAnsi="Verdana" w:cs="Calibri"/>
          <w:bCs/>
          <w:sz w:val="20"/>
          <w:szCs w:val="20"/>
        </w:rPr>
        <w:t>independent</w:t>
      </w:r>
      <w:proofErr w:type="spellEnd"/>
      <w:r w:rsidRPr="00157807">
        <w:rPr>
          <w:rFonts w:ascii="Verdana" w:hAnsi="Verdana" w:cs="Calibri"/>
          <w:bCs/>
          <w:sz w:val="20"/>
          <w:szCs w:val="20"/>
        </w:rPr>
        <w:t xml:space="preserve"> </w:t>
      </w:r>
      <w:proofErr w:type="spellStart"/>
      <w:r w:rsidRPr="00157807">
        <w:rPr>
          <w:rFonts w:ascii="Verdana" w:hAnsi="Verdana" w:cs="Calibri"/>
          <w:bCs/>
          <w:sz w:val="20"/>
          <w:szCs w:val="20"/>
        </w:rPr>
        <w:t>wealth</w:t>
      </w:r>
      <w:proofErr w:type="spellEnd"/>
      <w:r w:rsidRPr="00157807">
        <w:rPr>
          <w:rFonts w:ascii="Verdana" w:hAnsi="Verdana" w:cs="Calibri"/>
          <w:bCs/>
          <w:sz w:val="20"/>
          <w:szCs w:val="20"/>
        </w:rPr>
        <w:t xml:space="preserve"> </w:t>
      </w:r>
      <w:proofErr w:type="spellStart"/>
      <w:r w:rsidRPr="00157807">
        <w:rPr>
          <w:rFonts w:ascii="Verdana" w:hAnsi="Verdana" w:cs="Calibri"/>
          <w:bCs/>
          <w:sz w:val="20"/>
          <w:szCs w:val="20"/>
        </w:rPr>
        <w:t>management</w:t>
      </w:r>
      <w:proofErr w:type="spellEnd"/>
      <w:r w:rsidRPr="00157807">
        <w:rPr>
          <w:rFonts w:ascii="Verdana" w:hAnsi="Verdana" w:cs="Calibri"/>
          <w:bCs/>
          <w:sz w:val="20"/>
          <w:szCs w:val="20"/>
        </w:rPr>
        <w:t xml:space="preserve"> firm </w:t>
      </w:r>
      <w:proofErr w:type="spellStart"/>
      <w:r w:rsidRPr="00157807">
        <w:rPr>
          <w:rFonts w:ascii="Verdana" w:hAnsi="Verdana" w:cs="Calibri"/>
          <w:bCs/>
          <w:sz w:val="20"/>
          <w:szCs w:val="20"/>
        </w:rPr>
        <w:t>headquartered</w:t>
      </w:r>
      <w:proofErr w:type="spellEnd"/>
      <w:r w:rsidRPr="00157807">
        <w:rPr>
          <w:rFonts w:ascii="Verdana" w:hAnsi="Verdana" w:cs="Calibri"/>
          <w:bCs/>
          <w:sz w:val="20"/>
          <w:szCs w:val="20"/>
        </w:rPr>
        <w:t xml:space="preserve"> in Munich. </w:t>
      </w:r>
      <w:r w:rsidRPr="00157807">
        <w:rPr>
          <w:rFonts w:ascii="Verdana" w:hAnsi="Verdana" w:cs="Calibri"/>
          <w:bCs/>
          <w:sz w:val="20"/>
          <w:szCs w:val="20"/>
          <w:lang w:val="en-US"/>
        </w:rPr>
        <w:t xml:space="preserve">The company was founded by Dr. Detlef </w:t>
      </w:r>
      <w:proofErr w:type="spellStart"/>
      <w:r w:rsidRPr="00157807">
        <w:rPr>
          <w:rFonts w:ascii="Verdana" w:hAnsi="Verdana" w:cs="Calibri"/>
          <w:bCs/>
          <w:sz w:val="20"/>
          <w:szCs w:val="20"/>
          <w:lang w:val="en-US"/>
        </w:rPr>
        <w:t>Kohlhase</w:t>
      </w:r>
      <w:proofErr w:type="spellEnd"/>
      <w:r w:rsidRPr="00157807">
        <w:rPr>
          <w:rFonts w:ascii="Verdana" w:hAnsi="Verdana" w:cs="Calibri"/>
          <w:bCs/>
          <w:sz w:val="20"/>
          <w:szCs w:val="20"/>
          <w:lang w:val="en-US"/>
        </w:rPr>
        <w:t xml:space="preserve"> in 1980 and </w:t>
      </w:r>
      <w:r w:rsidR="00E64CA8">
        <w:rPr>
          <w:rFonts w:ascii="Verdana" w:hAnsi="Verdana" w:cs="Calibri"/>
          <w:bCs/>
          <w:sz w:val="20"/>
          <w:szCs w:val="20"/>
          <w:lang w:val="en-US"/>
        </w:rPr>
        <w:t>is</w:t>
      </w:r>
      <w:r w:rsidRPr="00157807">
        <w:rPr>
          <w:rFonts w:ascii="Verdana" w:hAnsi="Verdana" w:cs="Calibri"/>
          <w:bCs/>
          <w:sz w:val="20"/>
          <w:szCs w:val="20"/>
          <w:lang w:val="en-US"/>
        </w:rPr>
        <w:t xml:space="preserve"> dealing with wealth management and investment funds. </w:t>
      </w:r>
      <w:r w:rsidRPr="00E64CA8">
        <w:rPr>
          <w:rFonts w:ascii="Verdana" w:hAnsi="Verdana" w:cs="Calibri"/>
          <w:bCs/>
          <w:sz w:val="20"/>
          <w:szCs w:val="20"/>
          <w:lang w:val="en-US"/>
        </w:rPr>
        <w:t>It also coordinates the distribution and marketing activities for its own funds.</w:t>
      </w:r>
    </w:p>
    <w:p w:rsidR="00DE0023" w:rsidRPr="00157807" w:rsidRDefault="00157807" w:rsidP="002F69B2">
      <w:pPr>
        <w:widowControl w:val="0"/>
        <w:autoSpaceDE w:val="0"/>
        <w:autoSpaceDN w:val="0"/>
        <w:adjustRightInd w:val="0"/>
        <w:spacing w:line="360" w:lineRule="auto"/>
        <w:jc w:val="both"/>
        <w:rPr>
          <w:rFonts w:ascii="Verdana" w:hAnsi="Verdana" w:cs="Calibri"/>
          <w:bCs/>
          <w:sz w:val="20"/>
          <w:szCs w:val="20"/>
          <w:lang w:val="en-US"/>
        </w:rPr>
      </w:pPr>
      <w:r w:rsidRPr="00157807">
        <w:rPr>
          <w:rFonts w:ascii="Verdana" w:hAnsi="Verdana" w:cs="Calibri"/>
          <w:bCs/>
          <w:sz w:val="20"/>
          <w:szCs w:val="20"/>
          <w:lang w:val="en-US"/>
        </w:rPr>
        <w:t>As a family-owned company, the focus is on liquid assets with a conservative investment approach. The overriding investment objective is long-term capital preservation and growth. The product range is suitable for priv</w:t>
      </w:r>
      <w:r>
        <w:rPr>
          <w:rFonts w:ascii="Verdana" w:hAnsi="Verdana" w:cs="Calibri"/>
          <w:bCs/>
          <w:sz w:val="20"/>
          <w:szCs w:val="20"/>
          <w:lang w:val="en-US"/>
        </w:rPr>
        <w:t>ate and institutional investors</w:t>
      </w:r>
      <w:r w:rsidR="00DE0023" w:rsidRPr="00157807">
        <w:rPr>
          <w:rFonts w:ascii="Verdana" w:hAnsi="Verdana" w:cs="Calibri"/>
          <w:bCs/>
          <w:sz w:val="20"/>
          <w:szCs w:val="20"/>
          <w:lang w:val="en-US"/>
        </w:rPr>
        <w:t xml:space="preserve">. </w:t>
      </w:r>
    </w:p>
    <w:p w:rsidR="00157807" w:rsidRDefault="00157807" w:rsidP="002F69B2">
      <w:pPr>
        <w:widowControl w:val="0"/>
        <w:autoSpaceDE w:val="0"/>
        <w:autoSpaceDN w:val="0"/>
        <w:adjustRightInd w:val="0"/>
        <w:spacing w:line="360" w:lineRule="auto"/>
        <w:jc w:val="both"/>
        <w:rPr>
          <w:rFonts w:ascii="Verdana" w:hAnsi="Verdana" w:cs="Calibri"/>
          <w:bCs/>
          <w:sz w:val="20"/>
          <w:szCs w:val="20"/>
          <w:lang w:val="en-US"/>
        </w:rPr>
      </w:pPr>
      <w:r w:rsidRPr="00157807">
        <w:rPr>
          <w:rFonts w:ascii="Verdana" w:hAnsi="Verdana" w:cs="Calibri"/>
          <w:bCs/>
          <w:sz w:val="20"/>
          <w:szCs w:val="20"/>
          <w:lang w:val="en-US"/>
        </w:rPr>
        <w:t>The company places particular importance on fixed-income investments, an area where we have an established reputation.</w:t>
      </w:r>
      <w:r>
        <w:rPr>
          <w:rFonts w:ascii="Verdana" w:hAnsi="Verdana" w:cs="Calibri"/>
          <w:bCs/>
          <w:sz w:val="20"/>
          <w:szCs w:val="20"/>
          <w:lang w:val="en-US"/>
        </w:rPr>
        <w:t xml:space="preserve"> </w:t>
      </w:r>
    </w:p>
    <w:p w:rsidR="002F69B2" w:rsidRPr="00157807" w:rsidRDefault="00E64CA8" w:rsidP="002F69B2">
      <w:pPr>
        <w:widowControl w:val="0"/>
        <w:autoSpaceDE w:val="0"/>
        <w:autoSpaceDN w:val="0"/>
        <w:adjustRightInd w:val="0"/>
        <w:spacing w:line="360" w:lineRule="auto"/>
        <w:jc w:val="both"/>
        <w:rPr>
          <w:rFonts w:ascii="Verdana" w:hAnsi="Verdana" w:cs="Calibri"/>
          <w:bCs/>
          <w:sz w:val="20"/>
          <w:szCs w:val="20"/>
          <w:lang w:val="en-US"/>
        </w:rPr>
      </w:pPr>
      <w:r w:rsidRPr="00E64CA8">
        <w:rPr>
          <w:lang w:val="en-US"/>
        </w:rPr>
        <w:t>Another field of activity is the sales and marketing activities for the NESTOR funds</w:t>
      </w:r>
      <w:r>
        <w:rPr>
          <w:lang w:val="en-US"/>
        </w:rPr>
        <w:t xml:space="preserve">. </w:t>
      </w:r>
      <w:bookmarkStart w:id="0" w:name="_GoBack"/>
      <w:bookmarkEnd w:id="0"/>
      <w:r w:rsidR="00157807" w:rsidRPr="00157807">
        <w:rPr>
          <w:rFonts w:ascii="Verdana" w:hAnsi="Verdana" w:cs="Calibri"/>
          <w:bCs/>
          <w:sz w:val="20"/>
          <w:szCs w:val="20"/>
          <w:lang w:val="en-US"/>
        </w:rPr>
        <w:t>The aim, since the outset, has been to launch specialist equity funds in sectors with high potential that may have been neglected by large providers. These funds are mainly run by external managers and advisers with in-depth specialist knowledge in the areas concerned.</w:t>
      </w:r>
    </w:p>
    <w:p w:rsidR="00513D0E" w:rsidRPr="00157807" w:rsidRDefault="00513D0E" w:rsidP="00CB7B24">
      <w:pPr>
        <w:widowControl w:val="0"/>
        <w:autoSpaceDE w:val="0"/>
        <w:autoSpaceDN w:val="0"/>
        <w:adjustRightInd w:val="0"/>
        <w:spacing w:after="0" w:line="240" w:lineRule="auto"/>
        <w:jc w:val="both"/>
        <w:rPr>
          <w:rFonts w:ascii="Verdana" w:hAnsi="Verdana" w:cs="Calibri"/>
          <w:bCs/>
          <w:sz w:val="20"/>
          <w:szCs w:val="20"/>
          <w:lang w:val="en-US"/>
        </w:rPr>
      </w:pPr>
    </w:p>
    <w:p w:rsidR="00CB7B24" w:rsidRPr="00CB7B24" w:rsidRDefault="00157807" w:rsidP="00CB7B24">
      <w:pPr>
        <w:widowControl w:val="0"/>
        <w:autoSpaceDE w:val="0"/>
        <w:autoSpaceDN w:val="0"/>
        <w:adjustRightInd w:val="0"/>
        <w:spacing w:line="360" w:lineRule="auto"/>
        <w:jc w:val="both"/>
        <w:rPr>
          <w:rFonts w:ascii="Georgia" w:hAnsi="Georgia" w:cs="Calibri"/>
          <w:bCs/>
          <w:color w:val="001A7F"/>
          <w:sz w:val="20"/>
          <w:szCs w:val="20"/>
        </w:rPr>
      </w:pPr>
      <w:r>
        <w:rPr>
          <w:rFonts w:ascii="Georgia" w:hAnsi="Georgia" w:cs="Calibri"/>
          <w:b/>
          <w:bCs/>
          <w:color w:val="001A7F"/>
          <w:sz w:val="20"/>
          <w:szCs w:val="20"/>
        </w:rPr>
        <w:t>Contac</w:t>
      </w:r>
      <w:r w:rsidR="00CB7B24" w:rsidRPr="00CB7B24">
        <w:rPr>
          <w:rFonts w:ascii="Georgia" w:hAnsi="Georgia" w:cs="Calibri"/>
          <w:b/>
          <w:bCs/>
          <w:color w:val="001A7F"/>
          <w:sz w:val="20"/>
          <w:szCs w:val="20"/>
        </w:rPr>
        <w:t>t:</w:t>
      </w:r>
    </w:p>
    <w:p w:rsidR="00CB7B24" w:rsidRDefault="00CB7B24" w:rsidP="00CB7B24">
      <w:pPr>
        <w:widowControl w:val="0"/>
        <w:autoSpaceDE w:val="0"/>
        <w:autoSpaceDN w:val="0"/>
        <w:adjustRightInd w:val="0"/>
        <w:spacing w:after="0" w:line="240" w:lineRule="auto"/>
        <w:jc w:val="both"/>
        <w:rPr>
          <w:rFonts w:ascii="Verdana" w:hAnsi="Verdana" w:cs="Calibri"/>
          <w:bCs/>
          <w:sz w:val="20"/>
          <w:szCs w:val="20"/>
        </w:rPr>
      </w:pPr>
      <w:r w:rsidRPr="00CB7B24">
        <w:rPr>
          <w:rFonts w:ascii="Verdana" w:hAnsi="Verdana" w:cs="Calibri"/>
          <w:bCs/>
          <w:sz w:val="20"/>
          <w:szCs w:val="20"/>
        </w:rPr>
        <w:t xml:space="preserve">Dr. Kohlhase Vermögensverwaltungsgesellschaft mbH </w:t>
      </w:r>
    </w:p>
    <w:p w:rsidR="00CB7B24" w:rsidRPr="00CB7B24" w:rsidRDefault="00A847D1" w:rsidP="00CB7B24">
      <w:pPr>
        <w:widowControl w:val="0"/>
        <w:autoSpaceDE w:val="0"/>
        <w:autoSpaceDN w:val="0"/>
        <w:adjustRightInd w:val="0"/>
        <w:spacing w:after="0" w:line="240" w:lineRule="auto"/>
        <w:jc w:val="both"/>
        <w:rPr>
          <w:rFonts w:ascii="Verdana" w:hAnsi="Verdana" w:cs="Calibri"/>
          <w:bCs/>
          <w:sz w:val="20"/>
          <w:szCs w:val="20"/>
        </w:rPr>
      </w:pPr>
      <w:r>
        <w:rPr>
          <w:rFonts w:ascii="Verdana" w:hAnsi="Verdana" w:cs="Calibri"/>
          <w:bCs/>
          <w:sz w:val="20"/>
          <w:szCs w:val="20"/>
        </w:rPr>
        <w:t>Löwengrube 18</w:t>
      </w:r>
    </w:p>
    <w:p w:rsidR="00CB7B24" w:rsidRPr="00E64CA8" w:rsidRDefault="00CB7B24" w:rsidP="00CB7B24">
      <w:pPr>
        <w:widowControl w:val="0"/>
        <w:autoSpaceDE w:val="0"/>
        <w:autoSpaceDN w:val="0"/>
        <w:adjustRightInd w:val="0"/>
        <w:spacing w:after="0" w:line="240" w:lineRule="auto"/>
        <w:jc w:val="both"/>
        <w:rPr>
          <w:rFonts w:ascii="Verdana" w:hAnsi="Verdana" w:cs="Calibri"/>
          <w:bCs/>
          <w:sz w:val="20"/>
          <w:szCs w:val="20"/>
          <w:lang w:val="en-US"/>
        </w:rPr>
      </w:pPr>
      <w:r w:rsidRPr="00E64CA8">
        <w:rPr>
          <w:rFonts w:ascii="Verdana" w:hAnsi="Verdana" w:cs="Calibri"/>
          <w:bCs/>
          <w:sz w:val="20"/>
          <w:szCs w:val="20"/>
          <w:lang w:val="en-US"/>
        </w:rPr>
        <w:t>D-80333 M</w:t>
      </w:r>
      <w:r w:rsidR="00157807" w:rsidRPr="00E64CA8">
        <w:rPr>
          <w:rFonts w:ascii="Verdana" w:hAnsi="Verdana" w:cs="Calibri"/>
          <w:bCs/>
          <w:sz w:val="20"/>
          <w:szCs w:val="20"/>
          <w:lang w:val="en-US"/>
        </w:rPr>
        <w:t>unich</w:t>
      </w:r>
    </w:p>
    <w:p w:rsidR="00CB7B24" w:rsidRPr="00E64CA8" w:rsidRDefault="00CB7B24" w:rsidP="00CB7B24">
      <w:pPr>
        <w:widowControl w:val="0"/>
        <w:autoSpaceDE w:val="0"/>
        <w:autoSpaceDN w:val="0"/>
        <w:adjustRightInd w:val="0"/>
        <w:spacing w:after="0" w:line="240" w:lineRule="auto"/>
        <w:jc w:val="both"/>
        <w:rPr>
          <w:rFonts w:ascii="Verdana" w:hAnsi="Verdana" w:cs="Calibri"/>
          <w:bCs/>
          <w:sz w:val="20"/>
          <w:szCs w:val="20"/>
          <w:lang w:val="en-US"/>
        </w:rPr>
      </w:pPr>
    </w:p>
    <w:p w:rsidR="00CB7B24" w:rsidRPr="00E64CA8" w:rsidRDefault="00D40008" w:rsidP="00CB7B24">
      <w:pPr>
        <w:widowControl w:val="0"/>
        <w:autoSpaceDE w:val="0"/>
        <w:autoSpaceDN w:val="0"/>
        <w:adjustRightInd w:val="0"/>
        <w:spacing w:after="0" w:line="240" w:lineRule="auto"/>
        <w:jc w:val="both"/>
        <w:rPr>
          <w:rFonts w:ascii="Verdana" w:hAnsi="Verdana" w:cs="Calibri"/>
          <w:bCs/>
          <w:sz w:val="20"/>
          <w:szCs w:val="20"/>
          <w:lang w:val="en-US"/>
        </w:rPr>
      </w:pPr>
      <w:r w:rsidRPr="00E64CA8">
        <w:rPr>
          <w:rFonts w:ascii="Verdana" w:hAnsi="Verdana" w:cs="Calibri"/>
          <w:bCs/>
          <w:sz w:val="20"/>
          <w:szCs w:val="20"/>
          <w:lang w:val="en-US"/>
        </w:rPr>
        <w:t>Phone</w:t>
      </w:r>
      <w:r w:rsidR="00CB7B24" w:rsidRPr="00E64CA8">
        <w:rPr>
          <w:rFonts w:ascii="Verdana" w:hAnsi="Verdana" w:cs="Calibri"/>
          <w:bCs/>
          <w:sz w:val="20"/>
          <w:szCs w:val="20"/>
          <w:lang w:val="en-US"/>
        </w:rPr>
        <w:t xml:space="preserve"> +49 (0)89 / 54 59 03-0</w:t>
      </w:r>
    </w:p>
    <w:p w:rsidR="00CB7B24" w:rsidRPr="00E64CA8" w:rsidRDefault="00CB7B24" w:rsidP="00CB7B24">
      <w:pPr>
        <w:widowControl w:val="0"/>
        <w:autoSpaceDE w:val="0"/>
        <w:autoSpaceDN w:val="0"/>
        <w:adjustRightInd w:val="0"/>
        <w:spacing w:after="0" w:line="240" w:lineRule="auto"/>
        <w:jc w:val="both"/>
        <w:rPr>
          <w:rFonts w:ascii="Verdana" w:hAnsi="Verdana" w:cs="Calibri"/>
          <w:bCs/>
          <w:sz w:val="20"/>
          <w:szCs w:val="20"/>
          <w:lang w:val="en-US"/>
        </w:rPr>
      </w:pPr>
      <w:r w:rsidRPr="00E64CA8">
        <w:rPr>
          <w:rFonts w:ascii="Verdana" w:hAnsi="Verdana" w:cs="Calibri"/>
          <w:bCs/>
          <w:sz w:val="20"/>
          <w:szCs w:val="20"/>
          <w:lang w:val="en-US"/>
        </w:rPr>
        <w:t>epost@kohlhase.de</w:t>
      </w:r>
    </w:p>
    <w:p w:rsidR="00513D0E" w:rsidRPr="00E64CA8" w:rsidRDefault="00E64CA8" w:rsidP="00CB7B24">
      <w:pPr>
        <w:widowControl w:val="0"/>
        <w:autoSpaceDE w:val="0"/>
        <w:autoSpaceDN w:val="0"/>
        <w:adjustRightInd w:val="0"/>
        <w:spacing w:after="0" w:line="240" w:lineRule="auto"/>
        <w:jc w:val="both"/>
        <w:rPr>
          <w:rFonts w:ascii="Verdana" w:hAnsi="Verdana" w:cs="Calibri"/>
          <w:bCs/>
          <w:sz w:val="20"/>
          <w:szCs w:val="20"/>
          <w:lang w:val="en-US"/>
        </w:rPr>
      </w:pPr>
      <w:hyperlink r:id="rId8" w:history="1">
        <w:r w:rsidR="00A847D1" w:rsidRPr="00E64CA8">
          <w:rPr>
            <w:rStyle w:val="Hyperlink"/>
            <w:rFonts w:ascii="Verdana" w:hAnsi="Verdana" w:cs="Calibri"/>
            <w:bCs/>
            <w:sz w:val="20"/>
            <w:szCs w:val="20"/>
            <w:lang w:val="en-US"/>
          </w:rPr>
          <w:t>www.kohlhase.com</w:t>
        </w:r>
      </w:hyperlink>
      <w:r w:rsidR="00A847D1" w:rsidRPr="00E64CA8">
        <w:rPr>
          <w:rFonts w:ascii="Verdana" w:hAnsi="Verdana" w:cs="Calibri"/>
          <w:bCs/>
          <w:sz w:val="20"/>
          <w:szCs w:val="20"/>
          <w:lang w:val="en-US"/>
        </w:rPr>
        <w:t xml:space="preserve"> </w:t>
      </w:r>
    </w:p>
    <w:p w:rsidR="00513D0E" w:rsidRPr="00E64CA8" w:rsidRDefault="00513D0E" w:rsidP="008F7F4F">
      <w:pPr>
        <w:spacing w:after="0" w:line="240" w:lineRule="auto"/>
        <w:rPr>
          <w:rFonts w:ascii="Verdana" w:hAnsi="Verdana" w:cs="Calibri"/>
          <w:bCs/>
          <w:sz w:val="20"/>
          <w:szCs w:val="20"/>
          <w:lang w:val="en-US"/>
        </w:rPr>
      </w:pPr>
      <w:r w:rsidRPr="00E64CA8">
        <w:rPr>
          <w:rFonts w:ascii="Verdana" w:hAnsi="Verdana" w:cs="Calibri"/>
          <w:bCs/>
          <w:sz w:val="20"/>
          <w:szCs w:val="20"/>
          <w:lang w:val="en-US"/>
        </w:rPr>
        <w:br w:type="page"/>
      </w:r>
    </w:p>
    <w:p w:rsidR="008F7F4F" w:rsidRPr="00E64CA8" w:rsidRDefault="008F7F4F" w:rsidP="008F7F4F">
      <w:pPr>
        <w:pStyle w:val="berschrift2"/>
        <w:rPr>
          <w:rFonts w:ascii="Georgia" w:eastAsia="Times New Roman" w:hAnsi="Georgia"/>
          <w:lang w:val="en-US"/>
        </w:rPr>
      </w:pPr>
      <w:r w:rsidRPr="00E64CA8">
        <w:rPr>
          <w:rFonts w:ascii="Georgia" w:eastAsia="Times New Roman" w:hAnsi="Georgia"/>
          <w:lang w:val="en-US"/>
        </w:rPr>
        <w:lastRenderedPageBreak/>
        <w:t>Disclaimer</w:t>
      </w:r>
    </w:p>
    <w:p w:rsidR="006035F3" w:rsidRPr="006035F3" w:rsidRDefault="006035F3" w:rsidP="006035F3">
      <w:pPr>
        <w:autoSpaceDE w:val="0"/>
        <w:autoSpaceDN w:val="0"/>
        <w:spacing w:after="0" w:line="240" w:lineRule="auto"/>
        <w:jc w:val="both"/>
        <w:rPr>
          <w:rFonts w:ascii="Verdana" w:eastAsia="Times New Roman" w:hAnsi="Verdana" w:cs="Arial"/>
          <w:sz w:val="20"/>
          <w:szCs w:val="20"/>
          <w:lang w:val="en-US"/>
        </w:rPr>
      </w:pPr>
      <w:r w:rsidRPr="006035F3">
        <w:rPr>
          <w:rFonts w:ascii="Verdana" w:eastAsia="Times New Roman" w:hAnsi="Verdana" w:cs="Arial"/>
          <w:sz w:val="20"/>
          <w:szCs w:val="20"/>
          <w:lang w:val="en-US"/>
        </w:rPr>
        <w:t xml:space="preserve">This document is a marketing document that does not meet all the legal requirements to ensure the impartiality of financial analysis and is not subject to a ban on trading before publication. It is intended for institutional investors and contains important data on possible business activities. It is not an investment recommendation or investment advice </w:t>
      </w:r>
      <w:proofErr w:type="spellStart"/>
      <w:r w:rsidRPr="006035F3">
        <w:rPr>
          <w:rFonts w:ascii="Verdana" w:eastAsia="Times New Roman" w:hAnsi="Verdana" w:cs="Arial"/>
          <w:sz w:val="20"/>
          <w:szCs w:val="20"/>
          <w:lang w:val="en-US"/>
        </w:rPr>
        <w:t>customised</w:t>
      </w:r>
      <w:proofErr w:type="spellEnd"/>
      <w:r w:rsidRPr="006035F3">
        <w:rPr>
          <w:rFonts w:ascii="Verdana" w:eastAsia="Times New Roman" w:hAnsi="Verdana" w:cs="Arial"/>
          <w:sz w:val="20"/>
          <w:szCs w:val="20"/>
          <w:lang w:val="en-US"/>
        </w:rPr>
        <w:t xml:space="preserve"> to clients’ personal circumstances.</w:t>
      </w:r>
    </w:p>
    <w:p w:rsidR="006035F3" w:rsidRPr="006035F3" w:rsidRDefault="006035F3" w:rsidP="006035F3">
      <w:pPr>
        <w:autoSpaceDE w:val="0"/>
        <w:autoSpaceDN w:val="0"/>
        <w:spacing w:after="0" w:line="240" w:lineRule="auto"/>
        <w:jc w:val="both"/>
        <w:rPr>
          <w:rFonts w:ascii="Verdana" w:eastAsia="Times New Roman" w:hAnsi="Verdana" w:cs="Arial"/>
          <w:sz w:val="20"/>
          <w:szCs w:val="20"/>
          <w:lang w:val="en-US"/>
        </w:rPr>
      </w:pPr>
    </w:p>
    <w:p w:rsidR="006035F3" w:rsidRPr="006035F3" w:rsidRDefault="006035F3" w:rsidP="006035F3">
      <w:pPr>
        <w:autoSpaceDE w:val="0"/>
        <w:autoSpaceDN w:val="0"/>
        <w:spacing w:after="0" w:line="240" w:lineRule="auto"/>
        <w:jc w:val="both"/>
        <w:rPr>
          <w:rFonts w:ascii="Verdana" w:eastAsia="Times New Roman" w:hAnsi="Verdana" w:cs="Arial"/>
          <w:sz w:val="20"/>
          <w:szCs w:val="20"/>
          <w:lang w:val="en-US"/>
        </w:rPr>
      </w:pPr>
      <w:r w:rsidRPr="006035F3">
        <w:rPr>
          <w:rFonts w:ascii="Verdana" w:eastAsia="Times New Roman" w:hAnsi="Verdana" w:cs="Arial"/>
          <w:sz w:val="20"/>
          <w:szCs w:val="20"/>
          <w:lang w:val="en-US"/>
        </w:rPr>
        <w:t>Advice must be sought from an advisor that is appropriate for both the client and the product before buying fund units. Detailed specific information on products can be found in the current sales documentation, which is the sole binding basis for purchasing fund units. All sales documentation is available free of charge from the offices of the management company and from all paying agents and information agents. Where any statements are made about the opportunities and risks of individual products, these must not be regarded as complete. Please refer to the key investor information of the product in question.</w:t>
      </w:r>
    </w:p>
    <w:p w:rsidR="006035F3" w:rsidRPr="006035F3" w:rsidRDefault="006035F3" w:rsidP="006035F3">
      <w:pPr>
        <w:autoSpaceDE w:val="0"/>
        <w:autoSpaceDN w:val="0"/>
        <w:spacing w:after="0" w:line="240" w:lineRule="auto"/>
        <w:jc w:val="both"/>
        <w:rPr>
          <w:rFonts w:ascii="Verdana" w:eastAsia="Times New Roman" w:hAnsi="Verdana" w:cs="Arial"/>
          <w:sz w:val="20"/>
          <w:szCs w:val="20"/>
          <w:lang w:val="en-US"/>
        </w:rPr>
      </w:pPr>
    </w:p>
    <w:p w:rsidR="006035F3" w:rsidRPr="006035F3" w:rsidRDefault="006035F3" w:rsidP="006035F3">
      <w:pPr>
        <w:autoSpaceDE w:val="0"/>
        <w:autoSpaceDN w:val="0"/>
        <w:spacing w:after="0" w:line="240" w:lineRule="auto"/>
        <w:jc w:val="both"/>
        <w:rPr>
          <w:rFonts w:ascii="Verdana" w:eastAsia="Times New Roman" w:hAnsi="Verdana" w:cs="Arial"/>
          <w:sz w:val="20"/>
          <w:szCs w:val="20"/>
          <w:lang w:val="en-US"/>
        </w:rPr>
      </w:pPr>
      <w:r w:rsidRPr="006035F3">
        <w:rPr>
          <w:rFonts w:ascii="Verdana" w:eastAsia="Times New Roman" w:hAnsi="Verdana" w:cs="Arial"/>
          <w:sz w:val="20"/>
          <w:szCs w:val="20"/>
          <w:lang w:val="en-US"/>
        </w:rPr>
        <w:t>The agent/advisor receives a distribution fee out of the costs listed. For more details and the individual costs, please consult the sales prospectus. We will be pleased to provide additional information on request.</w:t>
      </w:r>
    </w:p>
    <w:p w:rsidR="006035F3" w:rsidRPr="006035F3" w:rsidRDefault="006035F3" w:rsidP="006035F3">
      <w:pPr>
        <w:autoSpaceDE w:val="0"/>
        <w:autoSpaceDN w:val="0"/>
        <w:spacing w:after="0" w:line="240" w:lineRule="auto"/>
        <w:jc w:val="both"/>
        <w:rPr>
          <w:rFonts w:ascii="Verdana" w:eastAsia="Times New Roman" w:hAnsi="Verdana" w:cs="Arial"/>
          <w:sz w:val="20"/>
          <w:szCs w:val="20"/>
          <w:lang w:val="en-US"/>
        </w:rPr>
      </w:pPr>
    </w:p>
    <w:p w:rsidR="006035F3" w:rsidRPr="006035F3" w:rsidRDefault="006035F3" w:rsidP="006035F3">
      <w:pPr>
        <w:autoSpaceDE w:val="0"/>
        <w:autoSpaceDN w:val="0"/>
        <w:spacing w:after="0" w:line="240" w:lineRule="auto"/>
        <w:jc w:val="both"/>
        <w:rPr>
          <w:rFonts w:ascii="Verdana" w:eastAsia="Times New Roman" w:hAnsi="Verdana" w:cs="Arial"/>
          <w:sz w:val="20"/>
          <w:szCs w:val="20"/>
          <w:lang w:val="en-US"/>
        </w:rPr>
      </w:pPr>
      <w:r w:rsidRPr="006035F3">
        <w:rPr>
          <w:rFonts w:ascii="Verdana" w:eastAsia="Times New Roman" w:hAnsi="Verdana" w:cs="Arial"/>
          <w:sz w:val="20"/>
          <w:szCs w:val="20"/>
          <w:lang w:val="en-US"/>
        </w:rPr>
        <w:t>Performance has been calculated for the period stated or, if not available, since launch, using the BVI methodology and without allowing for the load and bank charges. Please note that past performance is not a reliable indicator of future performance. We recommend using a longer-term time horizon (three or five years) when comparing funds.</w:t>
      </w:r>
    </w:p>
    <w:p w:rsidR="006035F3" w:rsidRPr="006035F3" w:rsidRDefault="006035F3" w:rsidP="006035F3">
      <w:pPr>
        <w:autoSpaceDE w:val="0"/>
        <w:autoSpaceDN w:val="0"/>
        <w:spacing w:after="0" w:line="240" w:lineRule="auto"/>
        <w:jc w:val="both"/>
        <w:rPr>
          <w:rFonts w:ascii="Verdana" w:eastAsia="Times New Roman" w:hAnsi="Verdana" w:cs="Arial"/>
          <w:sz w:val="20"/>
          <w:szCs w:val="20"/>
          <w:lang w:val="en-US"/>
        </w:rPr>
      </w:pPr>
    </w:p>
    <w:p w:rsidR="008F7F4F" w:rsidRDefault="006035F3" w:rsidP="006035F3">
      <w:pPr>
        <w:autoSpaceDE w:val="0"/>
        <w:autoSpaceDN w:val="0"/>
        <w:spacing w:after="0" w:line="240" w:lineRule="auto"/>
        <w:jc w:val="both"/>
        <w:rPr>
          <w:rFonts w:ascii="Verdana" w:eastAsia="Times New Roman" w:hAnsi="Verdana" w:cs="Arial"/>
          <w:sz w:val="20"/>
          <w:szCs w:val="20"/>
          <w:lang w:val="en-US"/>
        </w:rPr>
      </w:pPr>
      <w:r w:rsidRPr="006035F3">
        <w:rPr>
          <w:rFonts w:ascii="Verdana" w:eastAsia="Times New Roman" w:hAnsi="Verdana" w:cs="Arial"/>
          <w:sz w:val="20"/>
          <w:szCs w:val="20"/>
          <w:lang w:val="en-US"/>
        </w:rPr>
        <w:t>Please note our Principles for Executing Orders and Information on Dealing with Conflicts of Interest. For further information, please visit</w:t>
      </w:r>
      <w:r>
        <w:rPr>
          <w:rFonts w:ascii="Verdana" w:eastAsia="Times New Roman" w:hAnsi="Verdana" w:cs="Arial"/>
          <w:sz w:val="20"/>
          <w:szCs w:val="20"/>
          <w:lang w:val="en-US"/>
        </w:rPr>
        <w:t xml:space="preserve"> our website at </w:t>
      </w:r>
      <w:hyperlink r:id="rId9" w:history="1">
        <w:r w:rsidRPr="00ED0D83">
          <w:rPr>
            <w:rStyle w:val="Hyperlink"/>
            <w:rFonts w:ascii="Verdana" w:eastAsia="Times New Roman" w:hAnsi="Verdana" w:cs="Arial"/>
            <w:sz w:val="20"/>
            <w:szCs w:val="20"/>
            <w:lang w:val="en-US"/>
          </w:rPr>
          <w:t>www.kohlhase.com</w:t>
        </w:r>
      </w:hyperlink>
    </w:p>
    <w:p w:rsidR="006035F3" w:rsidRPr="006035F3" w:rsidRDefault="006035F3" w:rsidP="006035F3">
      <w:pPr>
        <w:autoSpaceDE w:val="0"/>
        <w:autoSpaceDN w:val="0"/>
        <w:spacing w:after="0" w:line="240" w:lineRule="auto"/>
        <w:jc w:val="both"/>
        <w:rPr>
          <w:rFonts w:ascii="Verdana" w:eastAsia="Times New Roman" w:hAnsi="Verdana" w:cs="Arial"/>
          <w:sz w:val="20"/>
          <w:szCs w:val="20"/>
          <w:lang w:val="en-US"/>
        </w:rPr>
      </w:pPr>
    </w:p>
    <w:p w:rsidR="008F7F4F" w:rsidRPr="006035F3" w:rsidRDefault="008F7F4F" w:rsidP="008F7F4F">
      <w:pPr>
        <w:spacing w:line="360" w:lineRule="auto"/>
        <w:rPr>
          <w:rFonts w:ascii="Verdana" w:hAnsi="Verdana" w:cs="Vrinda"/>
          <w:sz w:val="20"/>
          <w:szCs w:val="20"/>
          <w:lang w:val="en-US"/>
        </w:rPr>
      </w:pPr>
    </w:p>
    <w:p w:rsidR="00CB7B24" w:rsidRPr="006035F3" w:rsidRDefault="00CB7B24" w:rsidP="008F7F4F">
      <w:pPr>
        <w:widowControl w:val="0"/>
        <w:autoSpaceDE w:val="0"/>
        <w:autoSpaceDN w:val="0"/>
        <w:adjustRightInd w:val="0"/>
        <w:spacing w:line="360" w:lineRule="auto"/>
        <w:jc w:val="both"/>
        <w:rPr>
          <w:rFonts w:ascii="Verdana" w:hAnsi="Verdana" w:cs="Calibri"/>
          <w:bCs/>
          <w:sz w:val="20"/>
          <w:szCs w:val="20"/>
          <w:lang w:val="en-US"/>
        </w:rPr>
      </w:pPr>
    </w:p>
    <w:sectPr w:rsidR="00CB7B24" w:rsidRPr="006035F3" w:rsidSect="008E39D2">
      <w:headerReference w:type="default" r:id="rId10"/>
      <w:footerReference w:type="even" r:id="rId11"/>
      <w:footerReference w:type="default" r:id="rId12"/>
      <w:headerReference w:type="first" r:id="rId13"/>
      <w:footerReference w:type="first" r:id="rId14"/>
      <w:pgSz w:w="11907" w:h="16840" w:code="9"/>
      <w:pgMar w:top="2268" w:right="1418" w:bottom="1134" w:left="1418" w:header="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D0E" w:rsidRDefault="00513D0E">
      <w:r>
        <w:separator/>
      </w:r>
    </w:p>
  </w:endnote>
  <w:endnote w:type="continuationSeparator" w:id="0">
    <w:p w:rsidR="00513D0E" w:rsidRDefault="00513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D0E" w:rsidRDefault="00513D0E" w:rsidP="005637B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513D0E" w:rsidRDefault="00513D0E" w:rsidP="005637BB">
    <w:pPr>
      <w:pStyle w:val="Fuzeile"/>
      <w:ind w:right="360"/>
    </w:pPr>
  </w:p>
  <w:p w:rsidR="00513D0E" w:rsidRDefault="00513D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D0E" w:rsidRPr="007D3115" w:rsidRDefault="006762F5" w:rsidP="007D3115">
    <w:pPr>
      <w:pStyle w:val="Fuzeile"/>
      <w:jc w:val="right"/>
      <w:rPr>
        <w:rFonts w:ascii="Georgia" w:hAnsi="Georgia"/>
      </w:rPr>
    </w:pPr>
    <w:r>
      <w:rPr>
        <w:rFonts w:ascii="Georgia" w:hAnsi="Georgia" w:cs="Arial"/>
        <w:snapToGrid w:val="0"/>
        <w:sz w:val="16"/>
        <w:szCs w:val="16"/>
      </w:rPr>
      <w:t>Page</w:t>
    </w:r>
    <w:r w:rsidR="00513D0E" w:rsidRPr="007D3115">
      <w:rPr>
        <w:rFonts w:ascii="Georgia" w:hAnsi="Georgia" w:cs="Arial"/>
        <w:snapToGrid w:val="0"/>
        <w:sz w:val="16"/>
        <w:szCs w:val="16"/>
      </w:rPr>
      <w:fldChar w:fldCharType="begin"/>
    </w:r>
    <w:r w:rsidR="00513D0E" w:rsidRPr="007D3115">
      <w:rPr>
        <w:rFonts w:ascii="Georgia" w:hAnsi="Georgia" w:cs="Arial"/>
        <w:snapToGrid w:val="0"/>
        <w:sz w:val="16"/>
        <w:szCs w:val="16"/>
      </w:rPr>
      <w:instrText xml:space="preserve"> PAGE </w:instrText>
    </w:r>
    <w:r w:rsidR="00513D0E" w:rsidRPr="007D3115">
      <w:rPr>
        <w:rFonts w:ascii="Georgia" w:hAnsi="Georgia" w:cs="Arial"/>
        <w:snapToGrid w:val="0"/>
        <w:sz w:val="16"/>
        <w:szCs w:val="16"/>
      </w:rPr>
      <w:fldChar w:fldCharType="separate"/>
    </w:r>
    <w:r w:rsidR="00D40008">
      <w:rPr>
        <w:rFonts w:ascii="Georgia" w:hAnsi="Georgia" w:cs="Arial"/>
        <w:noProof/>
        <w:snapToGrid w:val="0"/>
        <w:sz w:val="16"/>
        <w:szCs w:val="16"/>
      </w:rPr>
      <w:t>2</w:t>
    </w:r>
    <w:r w:rsidR="00513D0E" w:rsidRPr="007D3115">
      <w:rPr>
        <w:rFonts w:ascii="Georgia" w:hAnsi="Georgia" w:cs="Arial"/>
        <w:snapToGrid w:val="0"/>
        <w:sz w:val="16"/>
        <w:szCs w:val="16"/>
      </w:rPr>
      <w:fldChar w:fldCharType="end"/>
    </w:r>
    <w:r>
      <w:rPr>
        <w:rFonts w:ascii="Georgia" w:hAnsi="Georgia" w:cs="Arial"/>
        <w:snapToGrid w:val="0"/>
        <w:sz w:val="16"/>
        <w:szCs w:val="16"/>
      </w:rPr>
      <w:t xml:space="preserve"> </w:t>
    </w:r>
    <w:proofErr w:type="spellStart"/>
    <w:r>
      <w:rPr>
        <w:rFonts w:ascii="Georgia" w:hAnsi="Georgia" w:cs="Arial"/>
        <w:snapToGrid w:val="0"/>
        <w:sz w:val="16"/>
        <w:szCs w:val="16"/>
      </w:rPr>
      <w:t>of</w:t>
    </w:r>
    <w:proofErr w:type="spellEnd"/>
    <w:r>
      <w:rPr>
        <w:rFonts w:ascii="Georgia" w:hAnsi="Georgia" w:cs="Arial"/>
        <w:snapToGrid w:val="0"/>
        <w:sz w:val="16"/>
        <w:szCs w:val="16"/>
      </w:rPr>
      <w:t xml:space="preserve"> </w:t>
    </w:r>
    <w:r w:rsidR="00513D0E" w:rsidRPr="007D3115">
      <w:rPr>
        <w:rFonts w:ascii="Georgia" w:hAnsi="Georgia" w:cs="Arial"/>
        <w:snapToGrid w:val="0"/>
        <w:sz w:val="16"/>
        <w:szCs w:val="16"/>
      </w:rPr>
      <w:t xml:space="preserve"> </w:t>
    </w:r>
    <w:r w:rsidR="00513D0E" w:rsidRPr="007D3115">
      <w:rPr>
        <w:rFonts w:ascii="Georgia" w:hAnsi="Georgia" w:cs="Arial"/>
        <w:snapToGrid w:val="0"/>
        <w:sz w:val="16"/>
        <w:szCs w:val="16"/>
      </w:rPr>
      <w:fldChar w:fldCharType="begin"/>
    </w:r>
    <w:r w:rsidR="00513D0E" w:rsidRPr="007D3115">
      <w:rPr>
        <w:rFonts w:ascii="Georgia" w:hAnsi="Georgia" w:cs="Arial"/>
        <w:snapToGrid w:val="0"/>
        <w:sz w:val="16"/>
        <w:szCs w:val="16"/>
      </w:rPr>
      <w:instrText xml:space="preserve"> NUMPAGES </w:instrText>
    </w:r>
    <w:r w:rsidR="00513D0E" w:rsidRPr="007D3115">
      <w:rPr>
        <w:rFonts w:ascii="Georgia" w:hAnsi="Georgia" w:cs="Arial"/>
        <w:snapToGrid w:val="0"/>
        <w:sz w:val="16"/>
        <w:szCs w:val="16"/>
      </w:rPr>
      <w:fldChar w:fldCharType="separate"/>
    </w:r>
    <w:r w:rsidR="00D40008">
      <w:rPr>
        <w:rFonts w:ascii="Georgia" w:hAnsi="Georgia" w:cs="Arial"/>
        <w:noProof/>
        <w:snapToGrid w:val="0"/>
        <w:sz w:val="16"/>
        <w:szCs w:val="16"/>
      </w:rPr>
      <w:t>2</w:t>
    </w:r>
    <w:r w:rsidR="00513D0E" w:rsidRPr="007D3115">
      <w:rPr>
        <w:rFonts w:ascii="Georgia" w:hAnsi="Georgia" w:cs="Arial"/>
        <w:snapToGrid w:val="0"/>
        <w:sz w:val="16"/>
        <w:szCs w:val="16"/>
      </w:rPr>
      <w:fldChar w:fldCharType="end"/>
    </w:r>
  </w:p>
  <w:p w:rsidR="00513D0E" w:rsidRPr="007D3115" w:rsidRDefault="00513D0E" w:rsidP="007D311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D0E" w:rsidRPr="007D3115" w:rsidRDefault="00D40008" w:rsidP="007D3115">
    <w:pPr>
      <w:pStyle w:val="Fuzeile"/>
      <w:jc w:val="right"/>
      <w:rPr>
        <w:rFonts w:ascii="Georgia" w:hAnsi="Georgia"/>
      </w:rPr>
    </w:pPr>
    <w:r>
      <w:rPr>
        <w:rFonts w:ascii="Georgia" w:hAnsi="Georgia" w:cs="Arial"/>
        <w:snapToGrid w:val="0"/>
        <w:sz w:val="16"/>
        <w:szCs w:val="16"/>
      </w:rPr>
      <w:t>Page</w:t>
    </w:r>
    <w:r w:rsidR="00513D0E" w:rsidRPr="007D3115">
      <w:rPr>
        <w:rFonts w:ascii="Georgia" w:hAnsi="Georgia" w:cs="Arial"/>
        <w:snapToGrid w:val="0"/>
        <w:sz w:val="16"/>
        <w:szCs w:val="16"/>
      </w:rPr>
      <w:t xml:space="preserve"> </w:t>
    </w:r>
    <w:r w:rsidR="00513D0E" w:rsidRPr="007D3115">
      <w:rPr>
        <w:rFonts w:ascii="Georgia" w:hAnsi="Georgia" w:cs="Arial"/>
        <w:snapToGrid w:val="0"/>
        <w:sz w:val="16"/>
        <w:szCs w:val="16"/>
      </w:rPr>
      <w:fldChar w:fldCharType="begin"/>
    </w:r>
    <w:r w:rsidR="00513D0E" w:rsidRPr="007D3115">
      <w:rPr>
        <w:rFonts w:ascii="Georgia" w:hAnsi="Georgia" w:cs="Arial"/>
        <w:snapToGrid w:val="0"/>
        <w:sz w:val="16"/>
        <w:szCs w:val="16"/>
      </w:rPr>
      <w:instrText xml:space="preserve"> PAGE </w:instrText>
    </w:r>
    <w:r w:rsidR="00513D0E" w:rsidRPr="007D3115">
      <w:rPr>
        <w:rFonts w:ascii="Georgia" w:hAnsi="Georgia" w:cs="Arial"/>
        <w:snapToGrid w:val="0"/>
        <w:sz w:val="16"/>
        <w:szCs w:val="16"/>
      </w:rPr>
      <w:fldChar w:fldCharType="separate"/>
    </w:r>
    <w:r>
      <w:rPr>
        <w:rFonts w:ascii="Georgia" w:hAnsi="Georgia" w:cs="Arial"/>
        <w:noProof/>
        <w:snapToGrid w:val="0"/>
        <w:sz w:val="16"/>
        <w:szCs w:val="16"/>
      </w:rPr>
      <w:t>1</w:t>
    </w:r>
    <w:r w:rsidR="00513D0E" w:rsidRPr="007D3115">
      <w:rPr>
        <w:rFonts w:ascii="Georgia" w:hAnsi="Georgia" w:cs="Arial"/>
        <w:snapToGrid w:val="0"/>
        <w:sz w:val="16"/>
        <w:szCs w:val="16"/>
      </w:rPr>
      <w:fldChar w:fldCharType="end"/>
    </w:r>
    <w:r>
      <w:rPr>
        <w:rFonts w:ascii="Georgia" w:hAnsi="Georgia" w:cs="Arial"/>
        <w:snapToGrid w:val="0"/>
        <w:sz w:val="16"/>
        <w:szCs w:val="16"/>
      </w:rPr>
      <w:t xml:space="preserve"> </w:t>
    </w:r>
    <w:proofErr w:type="spellStart"/>
    <w:r>
      <w:rPr>
        <w:rFonts w:ascii="Georgia" w:hAnsi="Georgia" w:cs="Arial"/>
        <w:snapToGrid w:val="0"/>
        <w:sz w:val="16"/>
        <w:szCs w:val="16"/>
      </w:rPr>
      <w:t>of</w:t>
    </w:r>
    <w:proofErr w:type="spellEnd"/>
    <w:r>
      <w:rPr>
        <w:rFonts w:ascii="Georgia" w:hAnsi="Georgia" w:cs="Arial"/>
        <w:snapToGrid w:val="0"/>
        <w:sz w:val="16"/>
        <w:szCs w:val="16"/>
      </w:rPr>
      <w:t xml:space="preserve"> </w:t>
    </w:r>
    <w:r w:rsidR="00513D0E" w:rsidRPr="007D3115">
      <w:rPr>
        <w:rFonts w:ascii="Georgia" w:hAnsi="Georgia" w:cs="Arial"/>
        <w:snapToGrid w:val="0"/>
        <w:sz w:val="16"/>
        <w:szCs w:val="16"/>
      </w:rPr>
      <w:t xml:space="preserve"> </w:t>
    </w:r>
    <w:r w:rsidR="00513D0E" w:rsidRPr="007D3115">
      <w:rPr>
        <w:rFonts w:ascii="Georgia" w:hAnsi="Georgia" w:cs="Arial"/>
        <w:snapToGrid w:val="0"/>
        <w:sz w:val="16"/>
        <w:szCs w:val="16"/>
      </w:rPr>
      <w:fldChar w:fldCharType="begin"/>
    </w:r>
    <w:r w:rsidR="00513D0E" w:rsidRPr="007D3115">
      <w:rPr>
        <w:rFonts w:ascii="Georgia" w:hAnsi="Georgia" w:cs="Arial"/>
        <w:snapToGrid w:val="0"/>
        <w:sz w:val="16"/>
        <w:szCs w:val="16"/>
      </w:rPr>
      <w:instrText xml:space="preserve"> NUMPAGES </w:instrText>
    </w:r>
    <w:r w:rsidR="00513D0E" w:rsidRPr="007D3115">
      <w:rPr>
        <w:rFonts w:ascii="Georgia" w:hAnsi="Georgia" w:cs="Arial"/>
        <w:snapToGrid w:val="0"/>
        <w:sz w:val="16"/>
        <w:szCs w:val="16"/>
      </w:rPr>
      <w:fldChar w:fldCharType="separate"/>
    </w:r>
    <w:r>
      <w:rPr>
        <w:rFonts w:ascii="Georgia" w:hAnsi="Georgia" w:cs="Arial"/>
        <w:noProof/>
        <w:snapToGrid w:val="0"/>
        <w:sz w:val="16"/>
        <w:szCs w:val="16"/>
      </w:rPr>
      <w:t>2</w:t>
    </w:r>
    <w:r w:rsidR="00513D0E" w:rsidRPr="007D3115">
      <w:rPr>
        <w:rFonts w:ascii="Georgia" w:hAnsi="Georgia" w:cs="Arial"/>
        <w:snapToGrid w:val="0"/>
        <w:sz w:val="16"/>
        <w:szCs w:val="16"/>
      </w:rPr>
      <w:fldChar w:fldCharType="end"/>
    </w:r>
  </w:p>
  <w:p w:rsidR="00513D0E" w:rsidRPr="007D3115" w:rsidRDefault="00513D0E" w:rsidP="007D31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D0E" w:rsidRDefault="00513D0E">
      <w:r>
        <w:separator/>
      </w:r>
    </w:p>
  </w:footnote>
  <w:footnote w:type="continuationSeparator" w:id="0">
    <w:p w:rsidR="00513D0E" w:rsidRDefault="00513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D0E" w:rsidRDefault="00513D0E" w:rsidP="00AC303D">
    <w:pPr>
      <w:pStyle w:val="Kopfzeile"/>
      <w:ind w:right="-1417"/>
      <w:jc w:val="right"/>
    </w:pPr>
    <w:r>
      <w:rPr>
        <w:noProof/>
      </w:rPr>
      <w:drawing>
        <wp:anchor distT="0" distB="0" distL="114300" distR="114300" simplePos="0" relativeHeight="251660288" behindDoc="0" locked="0" layoutInCell="1" allowOverlap="1" wp14:anchorId="29F8840C" wp14:editId="3DEE7E07">
          <wp:simplePos x="0" y="0"/>
          <wp:positionH relativeFrom="column">
            <wp:posOffset>4871720</wp:posOffset>
          </wp:positionH>
          <wp:positionV relativeFrom="paragraph">
            <wp:posOffset>0</wp:posOffset>
          </wp:positionV>
          <wp:extent cx="1785600" cy="1285200"/>
          <wp:effectExtent l="0" t="0" r="571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1_Dr. Kohlhase_Logo.jp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5600" cy="1285200"/>
                  </a:xfrm>
                  <a:prstGeom prst="rect">
                    <a:avLst/>
                  </a:prstGeom>
                </pic:spPr>
              </pic:pic>
            </a:graphicData>
          </a:graphic>
          <wp14:sizeRelH relativeFrom="margin">
            <wp14:pctWidth>0</wp14:pctWidth>
          </wp14:sizeRelH>
          <wp14:sizeRelV relativeFrom="margin">
            <wp14:pctHeight>0</wp14:pctHeight>
          </wp14:sizeRelV>
        </wp:anchor>
      </w:drawing>
    </w:r>
  </w:p>
  <w:p w:rsidR="00513D0E" w:rsidRDefault="00513D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D0E" w:rsidRDefault="00513D0E" w:rsidP="00AC303D">
    <w:pPr>
      <w:pStyle w:val="Kopfzeile"/>
      <w:ind w:right="-1417"/>
      <w:jc w:val="right"/>
    </w:pPr>
    <w:r>
      <w:rPr>
        <w:noProof/>
      </w:rPr>
      <w:drawing>
        <wp:anchor distT="0" distB="0" distL="114300" distR="114300" simplePos="0" relativeHeight="251659264" behindDoc="0" locked="0" layoutInCell="1" allowOverlap="1" wp14:anchorId="016598D4" wp14:editId="31A4BF07">
          <wp:simplePos x="0" y="0"/>
          <wp:positionH relativeFrom="column">
            <wp:posOffset>4871720</wp:posOffset>
          </wp:positionH>
          <wp:positionV relativeFrom="paragraph">
            <wp:posOffset>0</wp:posOffset>
          </wp:positionV>
          <wp:extent cx="1785600" cy="1285200"/>
          <wp:effectExtent l="0" t="0" r="571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1_Dr. Kohlhase_Logo.jp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5600" cy="128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55532"/>
    <w:multiLevelType w:val="hybridMultilevel"/>
    <w:tmpl w:val="695EB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C21"/>
    <w:rsid w:val="00007EB6"/>
    <w:rsid w:val="0001188C"/>
    <w:rsid w:val="000200FE"/>
    <w:rsid w:val="00020182"/>
    <w:rsid w:val="00020E30"/>
    <w:rsid w:val="00024FCA"/>
    <w:rsid w:val="00025597"/>
    <w:rsid w:val="00025CC1"/>
    <w:rsid w:val="000304CE"/>
    <w:rsid w:val="0003224D"/>
    <w:rsid w:val="000351F7"/>
    <w:rsid w:val="00042706"/>
    <w:rsid w:val="00044A78"/>
    <w:rsid w:val="0005197F"/>
    <w:rsid w:val="0005622F"/>
    <w:rsid w:val="00067A35"/>
    <w:rsid w:val="00072CBF"/>
    <w:rsid w:val="00073EBF"/>
    <w:rsid w:val="0008732B"/>
    <w:rsid w:val="00090EE4"/>
    <w:rsid w:val="00093126"/>
    <w:rsid w:val="000A066B"/>
    <w:rsid w:val="000A4043"/>
    <w:rsid w:val="000A5DDD"/>
    <w:rsid w:val="000A60CB"/>
    <w:rsid w:val="000A6299"/>
    <w:rsid w:val="000B042C"/>
    <w:rsid w:val="000B3116"/>
    <w:rsid w:val="000B3698"/>
    <w:rsid w:val="000B373F"/>
    <w:rsid w:val="000C0BB4"/>
    <w:rsid w:val="000C1B12"/>
    <w:rsid w:val="000D00E6"/>
    <w:rsid w:val="000D1A6F"/>
    <w:rsid w:val="000F4B70"/>
    <w:rsid w:val="000F6045"/>
    <w:rsid w:val="000F60D1"/>
    <w:rsid w:val="001053BC"/>
    <w:rsid w:val="00110BA8"/>
    <w:rsid w:val="00114481"/>
    <w:rsid w:val="00116902"/>
    <w:rsid w:val="0012453D"/>
    <w:rsid w:val="0012581D"/>
    <w:rsid w:val="0013417E"/>
    <w:rsid w:val="00137B49"/>
    <w:rsid w:val="001438F1"/>
    <w:rsid w:val="00157807"/>
    <w:rsid w:val="00161C3C"/>
    <w:rsid w:val="00161FD6"/>
    <w:rsid w:val="001729DE"/>
    <w:rsid w:val="0017761D"/>
    <w:rsid w:val="001806F9"/>
    <w:rsid w:val="001B51A6"/>
    <w:rsid w:val="001B5492"/>
    <w:rsid w:val="001C2D79"/>
    <w:rsid w:val="001C3F8E"/>
    <w:rsid w:val="001C6A08"/>
    <w:rsid w:val="001D54FF"/>
    <w:rsid w:val="001E154B"/>
    <w:rsid w:val="001E6A80"/>
    <w:rsid w:val="001F7EBA"/>
    <w:rsid w:val="00203B6B"/>
    <w:rsid w:val="00213A39"/>
    <w:rsid w:val="00226BCA"/>
    <w:rsid w:val="00231782"/>
    <w:rsid w:val="00250610"/>
    <w:rsid w:val="00254A97"/>
    <w:rsid w:val="002558A5"/>
    <w:rsid w:val="00260460"/>
    <w:rsid w:val="00260F86"/>
    <w:rsid w:val="00264E7D"/>
    <w:rsid w:val="00265D6B"/>
    <w:rsid w:val="0026643F"/>
    <w:rsid w:val="0028685C"/>
    <w:rsid w:val="00295C8C"/>
    <w:rsid w:val="002A5B7A"/>
    <w:rsid w:val="002A7693"/>
    <w:rsid w:val="002B25AF"/>
    <w:rsid w:val="002B4FAF"/>
    <w:rsid w:val="002B5DD8"/>
    <w:rsid w:val="002C0117"/>
    <w:rsid w:val="002D03CF"/>
    <w:rsid w:val="002E2A72"/>
    <w:rsid w:val="002E3C97"/>
    <w:rsid w:val="002E5D77"/>
    <w:rsid w:val="002E5EEF"/>
    <w:rsid w:val="002E746C"/>
    <w:rsid w:val="002F0AC5"/>
    <w:rsid w:val="002F0E97"/>
    <w:rsid w:val="002F69B2"/>
    <w:rsid w:val="00301021"/>
    <w:rsid w:val="00310F40"/>
    <w:rsid w:val="0031499F"/>
    <w:rsid w:val="00314EBE"/>
    <w:rsid w:val="003157AF"/>
    <w:rsid w:val="00320E40"/>
    <w:rsid w:val="00322BEE"/>
    <w:rsid w:val="0033391F"/>
    <w:rsid w:val="00337E38"/>
    <w:rsid w:val="003529BD"/>
    <w:rsid w:val="00355062"/>
    <w:rsid w:val="00355A6F"/>
    <w:rsid w:val="00365D99"/>
    <w:rsid w:val="003660F7"/>
    <w:rsid w:val="00367A82"/>
    <w:rsid w:val="00373C80"/>
    <w:rsid w:val="00380A02"/>
    <w:rsid w:val="00382ACC"/>
    <w:rsid w:val="00395F90"/>
    <w:rsid w:val="003A2654"/>
    <w:rsid w:val="003B15BD"/>
    <w:rsid w:val="003B466E"/>
    <w:rsid w:val="003B4AFC"/>
    <w:rsid w:val="003C0B58"/>
    <w:rsid w:val="003C4DE2"/>
    <w:rsid w:val="003C5D9F"/>
    <w:rsid w:val="003C7652"/>
    <w:rsid w:val="003D08F9"/>
    <w:rsid w:val="003D2420"/>
    <w:rsid w:val="003D361F"/>
    <w:rsid w:val="003D5AB2"/>
    <w:rsid w:val="003D6DF1"/>
    <w:rsid w:val="003F13BC"/>
    <w:rsid w:val="003F2858"/>
    <w:rsid w:val="003F4656"/>
    <w:rsid w:val="003F6D60"/>
    <w:rsid w:val="00402377"/>
    <w:rsid w:val="00403863"/>
    <w:rsid w:val="00403F5A"/>
    <w:rsid w:val="00404962"/>
    <w:rsid w:val="0040760D"/>
    <w:rsid w:val="00407E89"/>
    <w:rsid w:val="004262D8"/>
    <w:rsid w:val="00431D90"/>
    <w:rsid w:val="0043790A"/>
    <w:rsid w:val="00446F48"/>
    <w:rsid w:val="0045555D"/>
    <w:rsid w:val="00455A2F"/>
    <w:rsid w:val="0045784A"/>
    <w:rsid w:val="00463450"/>
    <w:rsid w:val="00463F02"/>
    <w:rsid w:val="00467196"/>
    <w:rsid w:val="00473B0E"/>
    <w:rsid w:val="00480D1B"/>
    <w:rsid w:val="0048289E"/>
    <w:rsid w:val="00484AF2"/>
    <w:rsid w:val="00491550"/>
    <w:rsid w:val="00496E30"/>
    <w:rsid w:val="004A0985"/>
    <w:rsid w:val="004A2BA5"/>
    <w:rsid w:val="004B0DDD"/>
    <w:rsid w:val="004B366C"/>
    <w:rsid w:val="004B3DAC"/>
    <w:rsid w:val="004B6343"/>
    <w:rsid w:val="004C2806"/>
    <w:rsid w:val="004C51E2"/>
    <w:rsid w:val="004C73C9"/>
    <w:rsid w:val="004C770A"/>
    <w:rsid w:val="004D6676"/>
    <w:rsid w:val="004E50A1"/>
    <w:rsid w:val="004E52F1"/>
    <w:rsid w:val="004E65E5"/>
    <w:rsid w:val="00501655"/>
    <w:rsid w:val="00501A46"/>
    <w:rsid w:val="005054B9"/>
    <w:rsid w:val="005129F7"/>
    <w:rsid w:val="00513D0E"/>
    <w:rsid w:val="00515940"/>
    <w:rsid w:val="00523900"/>
    <w:rsid w:val="00525F3E"/>
    <w:rsid w:val="0052614F"/>
    <w:rsid w:val="005267F0"/>
    <w:rsid w:val="00533D4E"/>
    <w:rsid w:val="00534CEC"/>
    <w:rsid w:val="00553D80"/>
    <w:rsid w:val="005637BB"/>
    <w:rsid w:val="005753CD"/>
    <w:rsid w:val="005805CC"/>
    <w:rsid w:val="005877A7"/>
    <w:rsid w:val="00594E0A"/>
    <w:rsid w:val="005962BF"/>
    <w:rsid w:val="00597302"/>
    <w:rsid w:val="005A0275"/>
    <w:rsid w:val="005A739A"/>
    <w:rsid w:val="005B00EA"/>
    <w:rsid w:val="005B140B"/>
    <w:rsid w:val="005C07D4"/>
    <w:rsid w:val="005C4E53"/>
    <w:rsid w:val="005C7F7B"/>
    <w:rsid w:val="005D5F9D"/>
    <w:rsid w:val="005E14FE"/>
    <w:rsid w:val="005E2FC2"/>
    <w:rsid w:val="005F0189"/>
    <w:rsid w:val="005F123B"/>
    <w:rsid w:val="005F53A1"/>
    <w:rsid w:val="005F542D"/>
    <w:rsid w:val="006035F3"/>
    <w:rsid w:val="006104A9"/>
    <w:rsid w:val="006176E0"/>
    <w:rsid w:val="00620617"/>
    <w:rsid w:val="00625BDD"/>
    <w:rsid w:val="00626AC3"/>
    <w:rsid w:val="0062789B"/>
    <w:rsid w:val="00636D5E"/>
    <w:rsid w:val="0064017A"/>
    <w:rsid w:val="00643349"/>
    <w:rsid w:val="006509EF"/>
    <w:rsid w:val="0065433D"/>
    <w:rsid w:val="00654E91"/>
    <w:rsid w:val="0065721C"/>
    <w:rsid w:val="00657E4B"/>
    <w:rsid w:val="00662445"/>
    <w:rsid w:val="006677E2"/>
    <w:rsid w:val="00672F97"/>
    <w:rsid w:val="006762F5"/>
    <w:rsid w:val="00677355"/>
    <w:rsid w:val="00685830"/>
    <w:rsid w:val="0069294D"/>
    <w:rsid w:val="006A10F3"/>
    <w:rsid w:val="006A17B6"/>
    <w:rsid w:val="006A2773"/>
    <w:rsid w:val="006A38FB"/>
    <w:rsid w:val="006A5AAB"/>
    <w:rsid w:val="006B06CE"/>
    <w:rsid w:val="006C4C58"/>
    <w:rsid w:val="006D1896"/>
    <w:rsid w:val="006D4040"/>
    <w:rsid w:val="006E2542"/>
    <w:rsid w:val="006E4935"/>
    <w:rsid w:val="006E5C33"/>
    <w:rsid w:val="006E6267"/>
    <w:rsid w:val="006E745E"/>
    <w:rsid w:val="006F5F2E"/>
    <w:rsid w:val="00700794"/>
    <w:rsid w:val="007010D4"/>
    <w:rsid w:val="0070291A"/>
    <w:rsid w:val="00705F7D"/>
    <w:rsid w:val="007105CF"/>
    <w:rsid w:val="007117E2"/>
    <w:rsid w:val="0071186A"/>
    <w:rsid w:val="007149C6"/>
    <w:rsid w:val="00714D82"/>
    <w:rsid w:val="007152F5"/>
    <w:rsid w:val="00741394"/>
    <w:rsid w:val="00745736"/>
    <w:rsid w:val="00751201"/>
    <w:rsid w:val="00757B43"/>
    <w:rsid w:val="00757F6A"/>
    <w:rsid w:val="007628C8"/>
    <w:rsid w:val="0076685E"/>
    <w:rsid w:val="007728E7"/>
    <w:rsid w:val="0078070A"/>
    <w:rsid w:val="007821AB"/>
    <w:rsid w:val="007A02FC"/>
    <w:rsid w:val="007A6BCF"/>
    <w:rsid w:val="007A6E0B"/>
    <w:rsid w:val="007C31C0"/>
    <w:rsid w:val="007C4B2B"/>
    <w:rsid w:val="007D3115"/>
    <w:rsid w:val="007D77F0"/>
    <w:rsid w:val="007D7AA3"/>
    <w:rsid w:val="007E252B"/>
    <w:rsid w:val="007E3D7A"/>
    <w:rsid w:val="007E662C"/>
    <w:rsid w:val="007F122A"/>
    <w:rsid w:val="007F3B06"/>
    <w:rsid w:val="007F62DD"/>
    <w:rsid w:val="00802414"/>
    <w:rsid w:val="008075B0"/>
    <w:rsid w:val="008128F9"/>
    <w:rsid w:val="00817BC0"/>
    <w:rsid w:val="00821FC0"/>
    <w:rsid w:val="00830C89"/>
    <w:rsid w:val="00831491"/>
    <w:rsid w:val="00831FD6"/>
    <w:rsid w:val="00833572"/>
    <w:rsid w:val="00833C22"/>
    <w:rsid w:val="00842DA8"/>
    <w:rsid w:val="008468F4"/>
    <w:rsid w:val="00850895"/>
    <w:rsid w:val="008532E7"/>
    <w:rsid w:val="00860755"/>
    <w:rsid w:val="008640E8"/>
    <w:rsid w:val="0086643F"/>
    <w:rsid w:val="0087227C"/>
    <w:rsid w:val="00873E04"/>
    <w:rsid w:val="00876BD5"/>
    <w:rsid w:val="008818B2"/>
    <w:rsid w:val="008825D7"/>
    <w:rsid w:val="00885181"/>
    <w:rsid w:val="0089384F"/>
    <w:rsid w:val="00897048"/>
    <w:rsid w:val="008A313B"/>
    <w:rsid w:val="008A55FA"/>
    <w:rsid w:val="008B2ACE"/>
    <w:rsid w:val="008B6CC4"/>
    <w:rsid w:val="008C1EF3"/>
    <w:rsid w:val="008C74BF"/>
    <w:rsid w:val="008D2C49"/>
    <w:rsid w:val="008D501C"/>
    <w:rsid w:val="008D7651"/>
    <w:rsid w:val="008E13D2"/>
    <w:rsid w:val="008E2544"/>
    <w:rsid w:val="008E39D2"/>
    <w:rsid w:val="008E3C1F"/>
    <w:rsid w:val="008F372C"/>
    <w:rsid w:val="008F7F4F"/>
    <w:rsid w:val="00900FB3"/>
    <w:rsid w:val="00903297"/>
    <w:rsid w:val="009053DB"/>
    <w:rsid w:val="00907835"/>
    <w:rsid w:val="009167F0"/>
    <w:rsid w:val="00926A52"/>
    <w:rsid w:val="00933CFB"/>
    <w:rsid w:val="009375EB"/>
    <w:rsid w:val="009422D8"/>
    <w:rsid w:val="00944BB8"/>
    <w:rsid w:val="00944E58"/>
    <w:rsid w:val="00955D9C"/>
    <w:rsid w:val="00957B0F"/>
    <w:rsid w:val="00971DFF"/>
    <w:rsid w:val="00972D09"/>
    <w:rsid w:val="009769D0"/>
    <w:rsid w:val="00984967"/>
    <w:rsid w:val="00984CC8"/>
    <w:rsid w:val="009875AB"/>
    <w:rsid w:val="00992201"/>
    <w:rsid w:val="009A0B36"/>
    <w:rsid w:val="009B2155"/>
    <w:rsid w:val="009B25BB"/>
    <w:rsid w:val="009B3554"/>
    <w:rsid w:val="009B4430"/>
    <w:rsid w:val="009B48F9"/>
    <w:rsid w:val="009B5DC6"/>
    <w:rsid w:val="009B66F4"/>
    <w:rsid w:val="009C2778"/>
    <w:rsid w:val="009C3B25"/>
    <w:rsid w:val="009C6E5E"/>
    <w:rsid w:val="009D03FC"/>
    <w:rsid w:val="009D15F7"/>
    <w:rsid w:val="009E2011"/>
    <w:rsid w:val="009E5362"/>
    <w:rsid w:val="009E65D4"/>
    <w:rsid w:val="009E668F"/>
    <w:rsid w:val="009E7099"/>
    <w:rsid w:val="009E742A"/>
    <w:rsid w:val="009E78D2"/>
    <w:rsid w:val="009F42B9"/>
    <w:rsid w:val="009F6663"/>
    <w:rsid w:val="00A0300A"/>
    <w:rsid w:val="00A140C4"/>
    <w:rsid w:val="00A410C9"/>
    <w:rsid w:val="00A43222"/>
    <w:rsid w:val="00A50A6B"/>
    <w:rsid w:val="00A5275A"/>
    <w:rsid w:val="00A57179"/>
    <w:rsid w:val="00A57B57"/>
    <w:rsid w:val="00A57E0D"/>
    <w:rsid w:val="00A60000"/>
    <w:rsid w:val="00A64685"/>
    <w:rsid w:val="00A6616C"/>
    <w:rsid w:val="00A7271A"/>
    <w:rsid w:val="00A7274E"/>
    <w:rsid w:val="00A77A50"/>
    <w:rsid w:val="00A813C4"/>
    <w:rsid w:val="00A81579"/>
    <w:rsid w:val="00A822B8"/>
    <w:rsid w:val="00A847D1"/>
    <w:rsid w:val="00A906C7"/>
    <w:rsid w:val="00A916A0"/>
    <w:rsid w:val="00AA7BA9"/>
    <w:rsid w:val="00AA7E97"/>
    <w:rsid w:val="00AA7FFB"/>
    <w:rsid w:val="00AB135B"/>
    <w:rsid w:val="00AC303D"/>
    <w:rsid w:val="00AC4E99"/>
    <w:rsid w:val="00AD2651"/>
    <w:rsid w:val="00AE34B6"/>
    <w:rsid w:val="00AF443F"/>
    <w:rsid w:val="00AF49D8"/>
    <w:rsid w:val="00B11E84"/>
    <w:rsid w:val="00B31430"/>
    <w:rsid w:val="00B35E80"/>
    <w:rsid w:val="00B3736D"/>
    <w:rsid w:val="00B4410D"/>
    <w:rsid w:val="00B451C4"/>
    <w:rsid w:val="00B509D9"/>
    <w:rsid w:val="00B5786F"/>
    <w:rsid w:val="00B6457C"/>
    <w:rsid w:val="00B757DF"/>
    <w:rsid w:val="00B8033A"/>
    <w:rsid w:val="00B82EA3"/>
    <w:rsid w:val="00B8537A"/>
    <w:rsid w:val="00B962B3"/>
    <w:rsid w:val="00B97CF0"/>
    <w:rsid w:val="00BA3A93"/>
    <w:rsid w:val="00BA3B90"/>
    <w:rsid w:val="00BA582E"/>
    <w:rsid w:val="00BA5BB3"/>
    <w:rsid w:val="00BA5FB1"/>
    <w:rsid w:val="00BB5AF9"/>
    <w:rsid w:val="00BC2E4B"/>
    <w:rsid w:val="00BD126A"/>
    <w:rsid w:val="00BD1EC8"/>
    <w:rsid w:val="00BD3BB3"/>
    <w:rsid w:val="00BE1674"/>
    <w:rsid w:val="00BE26EE"/>
    <w:rsid w:val="00BE2AD3"/>
    <w:rsid w:val="00BF5A6D"/>
    <w:rsid w:val="00C029EC"/>
    <w:rsid w:val="00C10823"/>
    <w:rsid w:val="00C12293"/>
    <w:rsid w:val="00C162A9"/>
    <w:rsid w:val="00C2086A"/>
    <w:rsid w:val="00C33D9D"/>
    <w:rsid w:val="00C33F89"/>
    <w:rsid w:val="00C36AF2"/>
    <w:rsid w:val="00C44929"/>
    <w:rsid w:val="00C57ACA"/>
    <w:rsid w:val="00C6406F"/>
    <w:rsid w:val="00C65109"/>
    <w:rsid w:val="00C72A0B"/>
    <w:rsid w:val="00C81A41"/>
    <w:rsid w:val="00C82B98"/>
    <w:rsid w:val="00C9031D"/>
    <w:rsid w:val="00C904CA"/>
    <w:rsid w:val="00C97AF8"/>
    <w:rsid w:val="00CB0DC3"/>
    <w:rsid w:val="00CB2345"/>
    <w:rsid w:val="00CB7B24"/>
    <w:rsid w:val="00CC117B"/>
    <w:rsid w:val="00CE65B5"/>
    <w:rsid w:val="00CE7F08"/>
    <w:rsid w:val="00CF1C3B"/>
    <w:rsid w:val="00CF30AF"/>
    <w:rsid w:val="00CF7485"/>
    <w:rsid w:val="00D108D9"/>
    <w:rsid w:val="00D1420B"/>
    <w:rsid w:val="00D160FF"/>
    <w:rsid w:val="00D24E41"/>
    <w:rsid w:val="00D3095D"/>
    <w:rsid w:val="00D30AF9"/>
    <w:rsid w:val="00D316DC"/>
    <w:rsid w:val="00D33830"/>
    <w:rsid w:val="00D40008"/>
    <w:rsid w:val="00D405D7"/>
    <w:rsid w:val="00D406A5"/>
    <w:rsid w:val="00D42D71"/>
    <w:rsid w:val="00D4799A"/>
    <w:rsid w:val="00D50408"/>
    <w:rsid w:val="00D52A87"/>
    <w:rsid w:val="00D573C7"/>
    <w:rsid w:val="00D6254E"/>
    <w:rsid w:val="00D727A8"/>
    <w:rsid w:val="00D74AFB"/>
    <w:rsid w:val="00D85671"/>
    <w:rsid w:val="00D86FAE"/>
    <w:rsid w:val="00D91D77"/>
    <w:rsid w:val="00D93E78"/>
    <w:rsid w:val="00DB21D5"/>
    <w:rsid w:val="00DB223D"/>
    <w:rsid w:val="00DC2012"/>
    <w:rsid w:val="00DC5297"/>
    <w:rsid w:val="00DD0D14"/>
    <w:rsid w:val="00DE0023"/>
    <w:rsid w:val="00DE6F5A"/>
    <w:rsid w:val="00DE7742"/>
    <w:rsid w:val="00DF480E"/>
    <w:rsid w:val="00E017DA"/>
    <w:rsid w:val="00E17BA2"/>
    <w:rsid w:val="00E21997"/>
    <w:rsid w:val="00E2569A"/>
    <w:rsid w:val="00E26CA5"/>
    <w:rsid w:val="00E30BDD"/>
    <w:rsid w:val="00E31A52"/>
    <w:rsid w:val="00E324FE"/>
    <w:rsid w:val="00E360E1"/>
    <w:rsid w:val="00E36E1B"/>
    <w:rsid w:val="00E412BA"/>
    <w:rsid w:val="00E44184"/>
    <w:rsid w:val="00E55546"/>
    <w:rsid w:val="00E57212"/>
    <w:rsid w:val="00E64CA8"/>
    <w:rsid w:val="00E72F35"/>
    <w:rsid w:val="00E75882"/>
    <w:rsid w:val="00E91802"/>
    <w:rsid w:val="00E97AB6"/>
    <w:rsid w:val="00EA4312"/>
    <w:rsid w:val="00EA4CDB"/>
    <w:rsid w:val="00EA56AB"/>
    <w:rsid w:val="00EA6CBC"/>
    <w:rsid w:val="00EB0031"/>
    <w:rsid w:val="00EB0495"/>
    <w:rsid w:val="00EC13F9"/>
    <w:rsid w:val="00EC318A"/>
    <w:rsid w:val="00EC4CCE"/>
    <w:rsid w:val="00EC536F"/>
    <w:rsid w:val="00ED110C"/>
    <w:rsid w:val="00ED728B"/>
    <w:rsid w:val="00EE10E5"/>
    <w:rsid w:val="00EE301D"/>
    <w:rsid w:val="00EE6A90"/>
    <w:rsid w:val="00EE7489"/>
    <w:rsid w:val="00EF3394"/>
    <w:rsid w:val="00EF37B6"/>
    <w:rsid w:val="00F009AE"/>
    <w:rsid w:val="00F0339F"/>
    <w:rsid w:val="00F13D4E"/>
    <w:rsid w:val="00F147B0"/>
    <w:rsid w:val="00F22D8D"/>
    <w:rsid w:val="00F25DC4"/>
    <w:rsid w:val="00F33A34"/>
    <w:rsid w:val="00F35455"/>
    <w:rsid w:val="00F355DD"/>
    <w:rsid w:val="00F37BFD"/>
    <w:rsid w:val="00F43134"/>
    <w:rsid w:val="00F4334D"/>
    <w:rsid w:val="00F50632"/>
    <w:rsid w:val="00F51A0B"/>
    <w:rsid w:val="00F545CF"/>
    <w:rsid w:val="00F56CB4"/>
    <w:rsid w:val="00F57165"/>
    <w:rsid w:val="00F61C76"/>
    <w:rsid w:val="00F63295"/>
    <w:rsid w:val="00F63916"/>
    <w:rsid w:val="00F646F2"/>
    <w:rsid w:val="00F70A40"/>
    <w:rsid w:val="00F74724"/>
    <w:rsid w:val="00F852E0"/>
    <w:rsid w:val="00F9415C"/>
    <w:rsid w:val="00FA2149"/>
    <w:rsid w:val="00FA7C33"/>
    <w:rsid w:val="00FB1C21"/>
    <w:rsid w:val="00FB5280"/>
    <w:rsid w:val="00FB533C"/>
    <w:rsid w:val="00FC137D"/>
    <w:rsid w:val="00FC3A3E"/>
    <w:rsid w:val="00FC538E"/>
    <w:rsid w:val="00FD14C7"/>
    <w:rsid w:val="00FF3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00E6E6B"/>
  <w15:docId w15:val="{C7BE8A55-03A9-4B0A-8D60-7B46E8DD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10BA8"/>
    <w:pPr>
      <w:spacing w:after="200" w:line="276" w:lineRule="auto"/>
    </w:pPr>
    <w:rPr>
      <w:rFonts w:asciiTheme="minorHAnsi" w:eastAsiaTheme="minorEastAsia" w:hAnsiTheme="minorHAnsi" w:cstheme="minorBidi"/>
      <w:sz w:val="22"/>
      <w:szCs w:val="22"/>
    </w:rPr>
  </w:style>
  <w:style w:type="paragraph" w:styleId="berschrift2">
    <w:name w:val="heading 2"/>
    <w:aliases w:val="Verdana-Überschrift 2"/>
    <w:basedOn w:val="Standard"/>
    <w:next w:val="Standard"/>
    <w:link w:val="berschrift2Zchn"/>
    <w:uiPriority w:val="9"/>
    <w:unhideWhenUsed/>
    <w:qFormat/>
    <w:rsid w:val="00110BA8"/>
    <w:pPr>
      <w:keepNext/>
      <w:keepLines/>
      <w:spacing w:before="320" w:after="120"/>
      <w:outlineLvl w:val="1"/>
    </w:pPr>
    <w:rPr>
      <w:rFonts w:ascii="Verdana" w:eastAsiaTheme="majorEastAsia" w:hAnsi="Verdana" w:cstheme="majorBidi"/>
      <w:b/>
      <w:bCs/>
      <w:color w:val="003D7F"/>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8E2544"/>
    <w:pPr>
      <w:spacing w:after="0" w:line="240" w:lineRule="auto"/>
    </w:pPr>
    <w:rPr>
      <w:rFonts w:ascii="Tahoma" w:eastAsia="Times New Roman" w:hAnsi="Tahoma" w:cs="Tahoma"/>
      <w:sz w:val="16"/>
      <w:szCs w:val="16"/>
    </w:rPr>
  </w:style>
  <w:style w:type="paragraph" w:styleId="Kopfzeile">
    <w:name w:val="header"/>
    <w:basedOn w:val="Standard"/>
    <w:rsid w:val="00B757DF"/>
    <w:pPr>
      <w:tabs>
        <w:tab w:val="center" w:pos="4536"/>
        <w:tab w:val="right" w:pos="9072"/>
      </w:tabs>
      <w:spacing w:after="0" w:line="240" w:lineRule="auto"/>
    </w:pPr>
    <w:rPr>
      <w:rFonts w:ascii="Times New Roman" w:eastAsia="Times New Roman" w:hAnsi="Times New Roman" w:cs="Times New Roman"/>
      <w:sz w:val="24"/>
      <w:szCs w:val="20"/>
    </w:rPr>
  </w:style>
  <w:style w:type="paragraph" w:styleId="Fuzeile">
    <w:name w:val="footer"/>
    <w:basedOn w:val="Standard"/>
    <w:rsid w:val="00B757DF"/>
    <w:pPr>
      <w:tabs>
        <w:tab w:val="center" w:pos="4536"/>
        <w:tab w:val="right" w:pos="9072"/>
      </w:tabs>
      <w:spacing w:after="0" w:line="240" w:lineRule="auto"/>
    </w:pPr>
    <w:rPr>
      <w:rFonts w:ascii="Times New Roman" w:eastAsia="Times New Roman" w:hAnsi="Times New Roman" w:cs="Times New Roman"/>
      <w:sz w:val="24"/>
      <w:szCs w:val="20"/>
    </w:rPr>
  </w:style>
  <w:style w:type="character" w:styleId="Seitenzahl">
    <w:name w:val="page number"/>
    <w:basedOn w:val="Absatz-Standardschriftart"/>
    <w:rsid w:val="005637BB"/>
  </w:style>
  <w:style w:type="character" w:customStyle="1" w:styleId="berschrift2Zchn">
    <w:name w:val="Überschrift 2 Zchn"/>
    <w:aliases w:val="Verdana-Überschrift 2 Zchn"/>
    <w:basedOn w:val="Absatz-Standardschriftart"/>
    <w:link w:val="berschrift2"/>
    <w:uiPriority w:val="9"/>
    <w:rsid w:val="00110BA8"/>
    <w:rPr>
      <w:rFonts w:ascii="Verdana" w:eastAsiaTheme="majorEastAsia" w:hAnsi="Verdana" w:cstheme="majorBidi"/>
      <w:b/>
      <w:bCs/>
      <w:color w:val="003D7F"/>
      <w:sz w:val="22"/>
      <w:szCs w:val="26"/>
    </w:rPr>
  </w:style>
  <w:style w:type="character" w:styleId="Hyperlink">
    <w:name w:val="Hyperlink"/>
    <w:basedOn w:val="Absatz-Standardschriftart"/>
    <w:uiPriority w:val="99"/>
    <w:unhideWhenUsed/>
    <w:rsid w:val="00110BA8"/>
    <w:rPr>
      <w:color w:val="0000FF" w:themeColor="hyperlink"/>
      <w:u w:val="single"/>
    </w:rPr>
  </w:style>
  <w:style w:type="table" w:styleId="Tabellenraster">
    <w:name w:val="Table Grid"/>
    <w:basedOn w:val="NormaleTabelle"/>
    <w:uiPriority w:val="59"/>
    <w:rsid w:val="00110BA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81A4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C81A4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CB7B24"/>
    <w:rPr>
      <w:color w:val="800080" w:themeColor="followedHyperlink"/>
      <w:u w:val="single"/>
    </w:rPr>
  </w:style>
  <w:style w:type="paragraph" w:styleId="Listenabsatz">
    <w:name w:val="List Paragraph"/>
    <w:basedOn w:val="Standard"/>
    <w:uiPriority w:val="34"/>
    <w:qFormat/>
    <w:rsid w:val="008F7F4F"/>
    <w:pPr>
      <w:ind w:left="720"/>
      <w:contextualSpacing/>
    </w:pPr>
  </w:style>
  <w:style w:type="paragraph" w:customStyle="1" w:styleId="bodytext">
    <w:name w:val="bodytext"/>
    <w:basedOn w:val="Standard"/>
    <w:rsid w:val="002F69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535263">
      <w:bodyDiv w:val="1"/>
      <w:marLeft w:val="0"/>
      <w:marRight w:val="0"/>
      <w:marTop w:val="0"/>
      <w:marBottom w:val="0"/>
      <w:divBdr>
        <w:top w:val="none" w:sz="0" w:space="0" w:color="auto"/>
        <w:left w:val="none" w:sz="0" w:space="0" w:color="auto"/>
        <w:bottom w:val="none" w:sz="0" w:space="0" w:color="auto"/>
        <w:right w:val="none" w:sz="0" w:space="0" w:color="auto"/>
      </w:divBdr>
      <w:divsChild>
        <w:div w:id="2114981454">
          <w:marLeft w:val="0"/>
          <w:marRight w:val="0"/>
          <w:marTop w:val="0"/>
          <w:marBottom w:val="0"/>
          <w:divBdr>
            <w:top w:val="none" w:sz="0" w:space="0" w:color="auto"/>
            <w:left w:val="none" w:sz="0" w:space="0" w:color="auto"/>
            <w:bottom w:val="none" w:sz="0" w:space="0" w:color="auto"/>
            <w:right w:val="none" w:sz="0" w:space="0" w:color="auto"/>
          </w:divBdr>
          <w:divsChild>
            <w:div w:id="102906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hlhase.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hlhase.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Z-Vorlagen%20Word\DKO-Brie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17902-33EA-412F-8712-1D71D6C73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DKO-Brief.dotx</Template>
  <TotalTime>0</TotalTime>
  <Pages>2</Pages>
  <Words>419</Words>
  <Characters>2645</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DKO-Brief</vt:lpstr>
    </vt:vector>
  </TitlesOfParts>
  <Company>Dr. Kohlhase GmbH</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DKO-Brief</dc:title>
  <dc:creator>Michael Kohlhase</dc:creator>
  <cp:lastModifiedBy>Michael Kohlhase</cp:lastModifiedBy>
  <cp:revision>2</cp:revision>
  <cp:lastPrinted>2019-02-06T15:20:00Z</cp:lastPrinted>
  <dcterms:created xsi:type="dcterms:W3CDTF">2021-01-19T11:44:00Z</dcterms:created>
  <dcterms:modified xsi:type="dcterms:W3CDTF">2021-01-19T11:44:00Z</dcterms:modified>
</cp:coreProperties>
</file>